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488"/>
        <w:gridCol w:w="1435"/>
        <w:gridCol w:w="2746"/>
        <w:gridCol w:w="1283"/>
        <w:gridCol w:w="913"/>
        <w:gridCol w:w="453"/>
        <w:gridCol w:w="52"/>
      </w:tblGrid>
      <w:tr w:rsidR="008F092B" w:rsidRPr="005721AA" w:rsidTr="008250C3">
        <w:trPr>
          <w:gridAfter w:val="1"/>
          <w:wAfter w:w="52" w:type="dxa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 xml:space="preserve">NORMA DE PROCEDIMENTO – SSP </w:t>
            </w:r>
            <w:r w:rsidR="00ED6ACC" w:rsidRPr="005721AA">
              <w:rPr>
                <w:rFonts w:ascii="Arial" w:hAnsi="Arial"/>
                <w:b/>
                <w:bCs w:val="0"/>
                <w:color w:val="auto"/>
              </w:rPr>
              <w:t>007</w:t>
            </w:r>
          </w:p>
        </w:tc>
      </w:tr>
      <w:tr w:rsidR="008F092B" w:rsidRPr="005721AA" w:rsidTr="00CA3466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Tema: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5721AA" w:rsidRDefault="009126FA" w:rsidP="00C7285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PROCESSO DE EXECUÇÃO DO SERVIÇO DE CONSULTA E EXAME</w:t>
            </w:r>
          </w:p>
        </w:tc>
      </w:tr>
      <w:tr w:rsidR="00C3651D" w:rsidRPr="005721AA" w:rsidTr="00CA3466">
        <w:tblPrEx>
          <w:shd w:val="clear" w:color="auto" w:fill="auto"/>
        </w:tblPrEx>
        <w:trPr>
          <w:trHeight w:val="408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Emitente: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NÚCLEO ESPECIAL DE REGULAÇÃO DE CONSULTAS E EXAMES (NERCE)</w:t>
            </w:r>
          </w:p>
        </w:tc>
      </w:tr>
      <w:tr w:rsidR="00C3651D" w:rsidRPr="005721AA" w:rsidTr="008250C3">
        <w:tblPrEx>
          <w:shd w:val="clear" w:color="auto" w:fill="auto"/>
        </w:tblPrEx>
        <w:trPr>
          <w:trHeight w:val="408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Sistema: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SISTEMA DE SAÚDE PÚBLICA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Código:</w:t>
            </w:r>
            <w:r w:rsidR="00ED6ACC" w:rsidRPr="005721AA">
              <w:rPr>
                <w:rFonts w:ascii="Arial" w:hAnsi="Arial"/>
                <w:b/>
                <w:bCs w:val="0"/>
                <w:color w:val="auto"/>
              </w:rPr>
              <w:t xml:space="preserve"> </w:t>
            </w:r>
            <w:r w:rsidR="00ED6ACC" w:rsidRPr="005721AA">
              <w:rPr>
                <w:rFonts w:ascii="Arial" w:hAnsi="Arial"/>
                <w:bCs w:val="0"/>
                <w:color w:val="auto"/>
              </w:rPr>
              <w:t>SSP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</w:p>
        </w:tc>
      </w:tr>
      <w:tr w:rsidR="00C3651D" w:rsidRPr="005721AA" w:rsidTr="008250C3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Versão: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Aprovação: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1D" w:rsidRPr="005721AA" w:rsidRDefault="008250C3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Portaria nº 115-R, de 20 de dezembro de 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Vigência: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1D" w:rsidRPr="005721AA" w:rsidRDefault="008250C3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21/12/2018</w:t>
            </w:r>
          </w:p>
        </w:tc>
      </w:tr>
    </w:tbl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OBJETIVOS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Descrever a regra de relacionamento entre os prestadores de serviços e o NERCE, dando transparência ao processo de acesso do usuário para consultas especializadas e exames de média e alta complexidade ambulatoriais.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ABRANGÊNCIA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Estabelecimentos de saúde (Hospitais, Clínicas) da rede própria, filantrópica e credenciada.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Núcleo Especial de Regulação de Consultas e Exames (NERCE).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Núcleos de Regulação do Acesso (NRA) das Superintendências Regionais de Saúde (SRS).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Centrais de Regulação Municipais.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Usuários.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FUNDAMENTAÇÃO LEGAL</w:t>
      </w:r>
    </w:p>
    <w:p w:rsidR="00CA3466" w:rsidRPr="005721AA" w:rsidRDefault="00CA3466" w:rsidP="00CA346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Portaria Nº 1.559 de 01 de agosto de 2008</w:t>
      </w:r>
    </w:p>
    <w:p w:rsidR="00CA3466" w:rsidRPr="005721AA" w:rsidRDefault="00CA3466" w:rsidP="00CA346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Portaria 065-R de 04 de novembro de 2016</w:t>
      </w:r>
    </w:p>
    <w:p w:rsidR="00CA3466" w:rsidRPr="005721AA" w:rsidRDefault="00CA3466" w:rsidP="00CA346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Notas Técnicas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DEFINIÇÕES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  <w:u w:val="single"/>
        </w:rPr>
      </w:pPr>
      <w:r w:rsidRPr="005721AA">
        <w:rPr>
          <w:rFonts w:ascii="Arial" w:hAnsi="Arial"/>
          <w:bCs w:val="0"/>
          <w:color w:val="auto"/>
          <w:u w:val="single"/>
        </w:rPr>
        <w:t>Agenda de atendimento:</w:t>
      </w:r>
      <w:r w:rsidRPr="005721AA">
        <w:rPr>
          <w:rFonts w:ascii="Arial" w:hAnsi="Arial"/>
          <w:bCs w:val="0"/>
          <w:color w:val="auto"/>
        </w:rPr>
        <w:t xml:space="preserve"> os prestadores de serviço, chamados de executantes, possuem acesso ao Sistema de Regulação SISREGIII (perfil executantes) e conseguem verificar os agendamentos realizados para cada profissional.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  <w:u w:val="single"/>
        </w:rPr>
        <w:lastRenderedPageBreak/>
        <w:t>Confirmação no registro de atendimento:</w:t>
      </w:r>
      <w:r w:rsidRPr="005721AA">
        <w:rPr>
          <w:rFonts w:ascii="Arial" w:hAnsi="Arial"/>
          <w:bCs w:val="0"/>
          <w:color w:val="auto"/>
        </w:rPr>
        <w:t xml:space="preserve"> quando o paciente é atendido, o executante precisa dar baixa </w:t>
      </w:r>
      <w:proofErr w:type="spellStart"/>
      <w:r w:rsidRPr="005721AA">
        <w:rPr>
          <w:rFonts w:ascii="Arial" w:hAnsi="Arial"/>
          <w:bCs w:val="0"/>
          <w:color w:val="auto"/>
        </w:rPr>
        <w:t>neste</w:t>
      </w:r>
      <w:proofErr w:type="spellEnd"/>
      <w:r w:rsidRPr="005721AA">
        <w:rPr>
          <w:rFonts w:ascii="Arial" w:hAnsi="Arial"/>
          <w:bCs w:val="0"/>
          <w:color w:val="auto"/>
        </w:rPr>
        <w:t xml:space="preserve"> atendimento p</w:t>
      </w:r>
      <w:r w:rsidRPr="005721AA">
        <w:rPr>
          <w:rFonts w:ascii="Arial" w:hAnsi="Arial"/>
          <w:color w:val="auto"/>
        </w:rPr>
        <w:t>ara todos os procedimentos que são disponibilizados via Sistema de Regulação SISREGIII, devendo registrar obrigatoriamente todos os usuários atendidos, mantendo atualizadas diariamente as confirmações</w:t>
      </w:r>
      <w:r w:rsidRPr="005721AA">
        <w:rPr>
          <w:rFonts w:ascii="Arial" w:hAnsi="Arial"/>
          <w:b/>
          <w:color w:val="auto"/>
        </w:rPr>
        <w:t xml:space="preserve">, </w:t>
      </w:r>
      <w:r w:rsidRPr="005721AA">
        <w:rPr>
          <w:rFonts w:ascii="Arial" w:hAnsi="Arial"/>
          <w:color w:val="auto"/>
        </w:rPr>
        <w:t>conforme Regra de Negócios para as Unidades Executantes.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proofErr w:type="spellStart"/>
      <w:r w:rsidRPr="005721AA">
        <w:rPr>
          <w:rFonts w:ascii="Arial" w:hAnsi="Arial"/>
          <w:bCs w:val="0"/>
          <w:color w:val="auto"/>
          <w:u w:val="single"/>
        </w:rPr>
        <w:t>Reagendamento</w:t>
      </w:r>
      <w:proofErr w:type="spellEnd"/>
      <w:r w:rsidRPr="005721AA">
        <w:rPr>
          <w:rFonts w:ascii="Arial" w:hAnsi="Arial"/>
          <w:bCs w:val="0"/>
          <w:color w:val="auto"/>
          <w:u w:val="single"/>
        </w:rPr>
        <w:t>:</w:t>
      </w:r>
      <w:r w:rsidRPr="005721AA">
        <w:rPr>
          <w:rFonts w:ascii="Arial" w:hAnsi="Arial"/>
          <w:bCs w:val="0"/>
          <w:color w:val="auto"/>
        </w:rPr>
        <w:t xml:space="preserve"> esta ferramenta é utilizada nos casos em que o Prestador de Serviço, por algum motivo, não consegue realizar o procedimento na data fornecida pelo Sistema de Regulação SISREG, ficando assim, a cargo do Prestador, a remarcação do paciente em sua própria agenda.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UNIDADES FUNCIONAIS ENVOLVIDAS</w:t>
      </w:r>
    </w:p>
    <w:p w:rsidR="00CA3466" w:rsidRPr="005721AA" w:rsidRDefault="00CA3466" w:rsidP="00CA34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 xml:space="preserve">Unidades funcionais envolvidas no processo: Núcleos de Regulação do Acesso das Superintendências Regionais de Saúde, Centrais de Regulação Municipais, Prestadores de Serviço Próprios, Filantrópicos e Credenciados, e o </w:t>
      </w:r>
      <w:r w:rsidRPr="005721AA">
        <w:rPr>
          <w:rFonts w:ascii="Arial" w:hAnsi="Arial"/>
          <w:color w:val="auto"/>
        </w:rPr>
        <w:t>Núcleo Especial de Regulação de Consultas e Exames (NERCE).</w:t>
      </w:r>
    </w:p>
    <w:p w:rsidR="00CA3466" w:rsidRPr="005721AA" w:rsidRDefault="00CA3466" w:rsidP="00CA34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Gestor do Processo: EXECUTANTES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CLIENTES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Os seguimentos de clientes atendidos diretamente pelo processo são: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Centrais de Regulação Municipais;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Núcleos de Regulação do Acesso das Superintendências Regionais de Saúde;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Núcleo Especial de Regulação de Consultas e Exames (NERCE).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Centrais de Regulação Municipais.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Usuários.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RESULTADO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Os resultados esperados do processo são: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Paciente não atendido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Paciente atendido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Paciente orientado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lastRenderedPageBreak/>
        <w:t>EVENTO INICIAL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Os estímulos que disparam a execução do processo são: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Receber agenda de atendimento: a agenda de atendimento de cada prestador é visualizada via Sistema de Regulação SISREG, assim que a vaga é agendada pelo Regulador (procedimento regulado) ou pelo operador solicitante (procedimento não regulado). Orienta-se retirar novamente essa agenda no dia do atendimento para que não haja divergências.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 xml:space="preserve">Com a agenda em mãos o prestador irá entrar em contato com cada paciente para confirmar o seu agendamento e passar as informações de preparo. 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Na data disponibilizada no agendamento via SISREG o prestador irá atender o paciente.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PROCEDIMENTOS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O processo inicialmente ficará aguardando o recebimento dos agendamentos de consultas e exames via Sistema de Regulação SISREG. Após a ocorrência deste evento irá se desencadear as tarefas subsequentes iniciando com a Etapa 1 executando a tarefa “T01 Realizar contato prévio com o paciente” para verificação do comparecimento e para esclarecer informações de preparo, caso necessário. E terminando com a tarefa “T02 Realizar Atendimento” dando o prosseguimento correto a cada caso.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As principais atividades realizadas nesse processo são: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1- Executar a tarefa</w:t>
      </w:r>
      <w:r w:rsidRPr="005721AA">
        <w:rPr>
          <w:rFonts w:ascii="Arial" w:hAnsi="Arial"/>
          <w:b/>
          <w:bCs w:val="0"/>
          <w:color w:val="auto"/>
        </w:rPr>
        <w:t xml:space="preserve"> T01. REALIZAR CONTATO PRÉVIO COM O PACIENTE: </w:t>
      </w:r>
      <w:r w:rsidRPr="005721AA">
        <w:rPr>
          <w:rFonts w:ascii="Arial" w:hAnsi="Arial"/>
          <w:bCs w:val="0"/>
          <w:color w:val="auto"/>
        </w:rPr>
        <w:t>quando o procedimento é agendado o prestador verifica este agendamento no Sistema de Regulação SISREG e entra em contato com o paciente para confirmar o seu atendimento e passar as informações de preparo.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2- Executar a tarefa</w:t>
      </w:r>
      <w:r w:rsidRPr="005721AA">
        <w:rPr>
          <w:rFonts w:ascii="Arial" w:hAnsi="Arial"/>
          <w:b/>
          <w:bCs w:val="0"/>
          <w:color w:val="auto"/>
        </w:rPr>
        <w:t xml:space="preserve"> T02. REALIZAR ATENDIMENTO: </w:t>
      </w:r>
      <w:r w:rsidRPr="005721AA">
        <w:rPr>
          <w:rFonts w:ascii="Arial" w:hAnsi="Arial"/>
          <w:bCs w:val="0"/>
          <w:color w:val="auto"/>
        </w:rPr>
        <w:t>quando chega o dia para atendimento do paciente na data disponibilizada via Sistema de Regulação SISREG, o mesmo pode comparecer ou não. Caso compareça, poderá o procedimento ser realizado ou não de acordo com o caso.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lastRenderedPageBreak/>
        <w:t>2.1</w:t>
      </w:r>
      <w:r w:rsidRPr="005721AA">
        <w:rPr>
          <w:rFonts w:ascii="Arial" w:hAnsi="Arial"/>
          <w:b/>
          <w:bCs w:val="0"/>
          <w:color w:val="auto"/>
        </w:rPr>
        <w:t xml:space="preserve"> </w:t>
      </w:r>
      <w:r w:rsidRPr="005721AA">
        <w:rPr>
          <w:rFonts w:ascii="Arial" w:hAnsi="Arial"/>
          <w:bCs w:val="0"/>
          <w:color w:val="auto"/>
        </w:rPr>
        <w:t>Executar a tarefa</w:t>
      </w:r>
      <w:r w:rsidRPr="005721AA">
        <w:rPr>
          <w:rFonts w:ascii="Arial" w:hAnsi="Arial"/>
          <w:b/>
          <w:bCs w:val="0"/>
          <w:color w:val="auto"/>
        </w:rPr>
        <w:t xml:space="preserve"> T03. DAR BAIXA NO REGISTRO DE ATENDIMENTO: </w:t>
      </w:r>
      <w:r w:rsidRPr="005721AA">
        <w:rPr>
          <w:rFonts w:ascii="Arial" w:hAnsi="Arial"/>
          <w:bCs w:val="0"/>
          <w:color w:val="auto"/>
        </w:rPr>
        <w:t>quando o paciente comparece na data fornecida pelo Sistema de Regulação SISREG e é atendido, o prestador irá dar baixa no registro de atendimento via SISREG.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2.2 Executar a tarefa</w:t>
      </w:r>
      <w:r w:rsidRPr="005721AA">
        <w:rPr>
          <w:rFonts w:ascii="Arial" w:hAnsi="Arial"/>
          <w:b/>
          <w:bCs w:val="0"/>
          <w:color w:val="auto"/>
        </w:rPr>
        <w:t xml:space="preserve"> T04. REALIZAR REAGENDAMENTO: </w:t>
      </w:r>
      <w:r w:rsidRPr="005721AA">
        <w:rPr>
          <w:rFonts w:ascii="Arial" w:hAnsi="Arial"/>
          <w:bCs w:val="0"/>
          <w:color w:val="auto"/>
        </w:rPr>
        <w:t>quando o paciente comparece na data fornecida pelo Sistema de Regulação SISREG e não pode realizar o procedimento devido alguma intercorrência para a realização.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2.3 Executar a tarefa</w:t>
      </w:r>
      <w:r w:rsidRPr="005721AA">
        <w:rPr>
          <w:rFonts w:ascii="Arial" w:hAnsi="Arial"/>
          <w:b/>
          <w:bCs w:val="0"/>
          <w:color w:val="auto"/>
        </w:rPr>
        <w:t xml:space="preserve"> T05. ORIENTAR PACIENTE A RETORNAR AO MUNICÍPIO: </w:t>
      </w:r>
      <w:r w:rsidRPr="005721AA">
        <w:rPr>
          <w:rFonts w:ascii="Arial" w:hAnsi="Arial"/>
          <w:bCs w:val="0"/>
          <w:color w:val="auto"/>
        </w:rPr>
        <w:t>quando o paciente comparece na data fornecida pelo Sistema de Regulação SISREG e não pode realizar o procedimento devido falta de preparo ou preparo inadequado, este é orientado pelo prestador a retornar no município para que possa ser reinserido no Sistema de Regulação SISREG.</w:t>
      </w:r>
    </w:p>
    <w:p w:rsidR="00DE43E3" w:rsidRDefault="00DE43E3" w:rsidP="005D35C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/>
          <w:bCs w:val="0"/>
          <w:color w:val="auto"/>
        </w:rPr>
        <w:sectPr w:rsidR="00DE43E3" w:rsidSect="00E51DA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E43E3" w:rsidRDefault="007379EC" w:rsidP="004C5C7E">
      <w:pPr>
        <w:autoSpaceDE w:val="0"/>
        <w:autoSpaceDN w:val="0"/>
        <w:adjustRightInd w:val="0"/>
        <w:spacing w:before="120" w:after="120" w:line="360" w:lineRule="auto"/>
        <w:ind w:left="426"/>
        <w:rPr>
          <w:rFonts w:ascii="Arial" w:hAnsi="Arial"/>
          <w:b/>
          <w:bCs w:val="0"/>
          <w:color w:val="auto"/>
        </w:rPr>
        <w:sectPr w:rsidR="00DE43E3" w:rsidSect="00DE43E3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16072EE" wp14:editId="099BCCBE">
            <wp:extent cx="8696325" cy="540004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E3" w:rsidRDefault="00DE43E3" w:rsidP="005D35C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/>
          <w:bCs w:val="0"/>
          <w:color w:val="auto"/>
        </w:rPr>
      </w:pPr>
    </w:p>
    <w:p w:rsidR="008F092B" w:rsidRPr="005721AA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INFORMAÇÕES ADICIONAIS</w:t>
      </w:r>
    </w:p>
    <w:p w:rsidR="008F092B" w:rsidRPr="005721AA" w:rsidRDefault="00ED6ACC" w:rsidP="00ED6ACC">
      <w:pPr>
        <w:pStyle w:val="PargrafodaLista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N/A</w:t>
      </w:r>
    </w:p>
    <w:p w:rsidR="008F092B" w:rsidRPr="005721AA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ANEXOS</w:t>
      </w:r>
    </w:p>
    <w:p w:rsidR="00BF180C" w:rsidRPr="00BF180C" w:rsidRDefault="00BF180C" w:rsidP="00BF180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auto"/>
        </w:rPr>
      </w:pPr>
      <w:r w:rsidRPr="00BF180C">
        <w:rPr>
          <w:rFonts w:ascii="Arial" w:hAnsi="Arial"/>
          <w:bCs w:val="0"/>
          <w:color w:val="auto"/>
        </w:rPr>
        <w:t>N/A</w:t>
      </w:r>
    </w:p>
    <w:p w:rsidR="008F092B" w:rsidRPr="005721AA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ASSINATURAS</w:t>
      </w:r>
    </w:p>
    <w:p w:rsidR="008F092B" w:rsidRPr="005721AA" w:rsidRDefault="008F092B" w:rsidP="008F092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8F092B" w:rsidRPr="005721AA" w:rsidTr="008F092B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EQUIPE DE ELABORAÇÃO:</w:t>
            </w:r>
          </w:p>
        </w:tc>
      </w:tr>
      <w:tr w:rsidR="008F092B" w:rsidRPr="005721AA" w:rsidTr="008F092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Pr="005721AA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E76AE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proofErr w:type="spellStart"/>
            <w:r w:rsidRPr="005721AA">
              <w:rPr>
                <w:rFonts w:ascii="Arial" w:hAnsi="Arial"/>
                <w:bCs w:val="0"/>
                <w:color w:val="auto"/>
              </w:rPr>
              <w:t>Estênia</w:t>
            </w:r>
            <w:proofErr w:type="spellEnd"/>
            <w:r w:rsidRPr="005721AA">
              <w:rPr>
                <w:rFonts w:ascii="Arial" w:hAnsi="Arial"/>
                <w:bCs w:val="0"/>
                <w:color w:val="auto"/>
              </w:rPr>
              <w:t xml:space="preserve"> </w:t>
            </w:r>
            <w:proofErr w:type="spellStart"/>
            <w:r w:rsidRPr="005721AA">
              <w:rPr>
                <w:rFonts w:ascii="Arial" w:hAnsi="Arial"/>
                <w:bCs w:val="0"/>
                <w:color w:val="auto"/>
              </w:rPr>
              <w:t>Colnago</w:t>
            </w:r>
            <w:proofErr w:type="spellEnd"/>
            <w:r w:rsidRPr="005721AA">
              <w:rPr>
                <w:rFonts w:ascii="Arial" w:hAnsi="Arial"/>
                <w:bCs w:val="0"/>
                <w:color w:val="auto"/>
              </w:rPr>
              <w:t xml:space="preserve"> Santiago</w:t>
            </w:r>
          </w:p>
          <w:p w:rsidR="008F092B" w:rsidRPr="005721AA" w:rsidRDefault="00FB727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5721AA">
              <w:rPr>
                <w:rFonts w:ascii="Arial" w:hAnsi="Arial"/>
                <w:bCs w:val="0"/>
                <w:color w:val="auto"/>
                <w:sz w:val="20"/>
                <w:szCs w:val="20"/>
              </w:rPr>
              <w:t>Enfermeira</w:t>
            </w: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Pr="005721AA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A02D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Fábio Alexandre dos Santos Junior</w:t>
            </w:r>
            <w:r w:rsidR="008F092B" w:rsidRPr="005721AA">
              <w:rPr>
                <w:rFonts w:ascii="Arial" w:hAnsi="Arial"/>
                <w:bCs w:val="0"/>
                <w:color w:val="auto"/>
              </w:rPr>
              <w:t xml:space="preserve"> </w:t>
            </w:r>
          </w:p>
          <w:p w:rsidR="008F092B" w:rsidRPr="005721AA" w:rsidRDefault="00A02D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5721AA">
              <w:rPr>
                <w:rFonts w:ascii="Arial" w:hAnsi="Arial"/>
                <w:bCs w:val="0"/>
                <w:color w:val="auto"/>
                <w:sz w:val="20"/>
                <w:szCs w:val="20"/>
              </w:rPr>
              <w:t>Assistente de Gestão</w:t>
            </w: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</w:tc>
      </w:tr>
      <w:tr w:rsidR="008F092B" w:rsidRPr="005721AA" w:rsidTr="008F092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Pr="005721AA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E76AE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proofErr w:type="spellStart"/>
            <w:r w:rsidRPr="005721AA">
              <w:rPr>
                <w:rFonts w:ascii="Arial" w:hAnsi="Arial"/>
                <w:bCs w:val="0"/>
                <w:color w:val="auto"/>
              </w:rPr>
              <w:t>Patricia</w:t>
            </w:r>
            <w:proofErr w:type="spellEnd"/>
            <w:r w:rsidRPr="005721AA">
              <w:rPr>
                <w:rFonts w:ascii="Arial" w:hAnsi="Arial"/>
                <w:bCs w:val="0"/>
                <w:color w:val="auto"/>
              </w:rPr>
              <w:t xml:space="preserve"> Rocha </w:t>
            </w:r>
            <w:proofErr w:type="spellStart"/>
            <w:r w:rsidRPr="005721AA">
              <w:rPr>
                <w:rFonts w:ascii="Arial" w:hAnsi="Arial"/>
                <w:bCs w:val="0"/>
                <w:color w:val="auto"/>
              </w:rPr>
              <w:t>Vedova</w:t>
            </w:r>
            <w:proofErr w:type="spellEnd"/>
            <w:r w:rsidRPr="005721AA">
              <w:rPr>
                <w:rFonts w:ascii="Arial" w:hAnsi="Arial"/>
                <w:bCs w:val="0"/>
                <w:color w:val="auto"/>
              </w:rPr>
              <w:t xml:space="preserve"> </w:t>
            </w:r>
            <w:proofErr w:type="spellStart"/>
            <w:r w:rsidRPr="005721AA">
              <w:rPr>
                <w:rFonts w:ascii="Arial" w:hAnsi="Arial"/>
                <w:bCs w:val="0"/>
                <w:color w:val="auto"/>
              </w:rPr>
              <w:t>Pirola</w:t>
            </w:r>
            <w:proofErr w:type="spellEnd"/>
            <w:r w:rsidR="008F092B" w:rsidRPr="005721AA">
              <w:rPr>
                <w:rFonts w:ascii="Arial" w:hAnsi="Arial"/>
                <w:bCs w:val="0"/>
                <w:color w:val="auto"/>
              </w:rPr>
              <w:t xml:space="preserve"> </w:t>
            </w:r>
          </w:p>
          <w:p w:rsidR="008F092B" w:rsidRPr="005721AA" w:rsidRDefault="00FB727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5721AA">
              <w:rPr>
                <w:rFonts w:ascii="Arial" w:hAnsi="Arial"/>
                <w:bCs w:val="0"/>
                <w:color w:val="auto"/>
                <w:sz w:val="20"/>
                <w:szCs w:val="20"/>
              </w:rPr>
              <w:t>Chefe do Núcleo Especial de Regulação de Consultas e Exames</w:t>
            </w: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 xml:space="preserve">Elaborado em </w:t>
            </w:r>
            <w:r w:rsidR="00A02D9A" w:rsidRPr="005721AA">
              <w:rPr>
                <w:rFonts w:ascii="Arial" w:hAnsi="Arial"/>
                <w:bCs w:val="0"/>
                <w:color w:val="auto"/>
              </w:rPr>
              <w:t>13/11/</w:t>
            </w:r>
            <w:r w:rsidRPr="005721AA">
              <w:rPr>
                <w:rFonts w:ascii="Arial" w:hAnsi="Arial"/>
                <w:bCs w:val="0"/>
                <w:color w:val="auto"/>
              </w:rPr>
              <w:t>2018</w:t>
            </w:r>
          </w:p>
        </w:tc>
      </w:tr>
      <w:tr w:rsidR="008F092B" w:rsidRPr="005721AA" w:rsidTr="008F092B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APROVAÇÃO:</w:t>
            </w:r>
          </w:p>
        </w:tc>
      </w:tr>
      <w:tr w:rsidR="008F092B" w:rsidRPr="00CC5EB5" w:rsidTr="008F092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533F54" w:rsidRDefault="00533F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Pr="005721AA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533F54" w:rsidRPr="005721AA" w:rsidRDefault="00533F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533F54" w:rsidRPr="005721AA" w:rsidRDefault="00533F54" w:rsidP="00533F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721AA"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 w:rsidRPr="005721AA"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533F54" w:rsidRPr="005721AA" w:rsidRDefault="00533F54" w:rsidP="00533F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721AA"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CC5EB5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 xml:space="preserve">Aprovado em </w:t>
            </w:r>
            <w:r w:rsidR="00533F54" w:rsidRPr="005721AA">
              <w:rPr>
                <w:rFonts w:ascii="Arial" w:hAnsi="Arial"/>
                <w:bCs w:val="0"/>
                <w:color w:val="auto"/>
              </w:rPr>
              <w:t>13/11/2018</w:t>
            </w:r>
          </w:p>
        </w:tc>
      </w:tr>
    </w:tbl>
    <w:p w:rsidR="008F092B" w:rsidRPr="00CC5EB5" w:rsidRDefault="008F092B" w:rsidP="008F092B">
      <w:pPr>
        <w:jc w:val="center"/>
        <w:rPr>
          <w:rFonts w:ascii="Arial" w:hAnsi="Arial"/>
          <w:color w:val="auto"/>
        </w:rPr>
      </w:pPr>
    </w:p>
    <w:p w:rsidR="008F092B" w:rsidRPr="00CC5EB5" w:rsidRDefault="008F092B" w:rsidP="008F092B">
      <w:pPr>
        <w:jc w:val="center"/>
        <w:rPr>
          <w:rFonts w:ascii="Arial" w:hAnsi="Arial"/>
          <w:color w:val="auto"/>
        </w:rPr>
      </w:pPr>
    </w:p>
    <w:p w:rsidR="00136934" w:rsidRPr="00CC5EB5" w:rsidRDefault="00136934">
      <w:pPr>
        <w:rPr>
          <w:color w:val="auto"/>
        </w:rPr>
      </w:pPr>
    </w:p>
    <w:sectPr w:rsidR="00136934" w:rsidRPr="00CC5EB5" w:rsidSect="00DE43E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517" w:rsidRDefault="008A6517" w:rsidP="00C3651D">
      <w:r>
        <w:separator/>
      </w:r>
    </w:p>
  </w:endnote>
  <w:endnote w:type="continuationSeparator" w:id="0">
    <w:p w:rsidR="008A6517" w:rsidRDefault="008A6517" w:rsidP="00C3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610919"/>
      <w:docPartObj>
        <w:docPartGallery w:val="Page Numbers (Bottom of Page)"/>
        <w:docPartUnique/>
      </w:docPartObj>
    </w:sdtPr>
    <w:sdtEndPr/>
    <w:sdtContent>
      <w:p w:rsidR="00DA09FA" w:rsidRDefault="00DA09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09FA" w:rsidRDefault="00DA09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517" w:rsidRDefault="008A6517" w:rsidP="00C3651D">
      <w:r>
        <w:separator/>
      </w:r>
    </w:p>
  </w:footnote>
  <w:footnote w:type="continuationSeparator" w:id="0">
    <w:p w:rsidR="008A6517" w:rsidRDefault="008A6517" w:rsidP="00C3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54" w:rsidRDefault="00515F54" w:rsidP="00515F54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-58420</wp:posOffset>
          </wp:positionV>
          <wp:extent cx="420370" cy="451485"/>
          <wp:effectExtent l="0" t="0" r="0" b="0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244061"/>
        <w:spacing w:val="24"/>
      </w:rPr>
      <w:t>GOVERNO DO ESTADO DO ESPÍRITO SANTO</w:t>
    </w:r>
  </w:p>
  <w:p w:rsidR="00515F54" w:rsidRDefault="00515F54" w:rsidP="00515F54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515F54" w:rsidRDefault="00515F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2325F"/>
    <w:multiLevelType w:val="hybridMultilevel"/>
    <w:tmpl w:val="6D7CC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E9A56C3"/>
    <w:multiLevelType w:val="hybridMultilevel"/>
    <w:tmpl w:val="87D81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94D9C"/>
    <w:multiLevelType w:val="hybridMultilevel"/>
    <w:tmpl w:val="32DC8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2B"/>
    <w:rsid w:val="00032D14"/>
    <w:rsid w:val="000D2464"/>
    <w:rsid w:val="00121B64"/>
    <w:rsid w:val="00136934"/>
    <w:rsid w:val="00145623"/>
    <w:rsid w:val="001C3002"/>
    <w:rsid w:val="00272BDA"/>
    <w:rsid w:val="002A45C4"/>
    <w:rsid w:val="002A6605"/>
    <w:rsid w:val="002B533C"/>
    <w:rsid w:val="002F594A"/>
    <w:rsid w:val="0031566C"/>
    <w:rsid w:val="00347EE2"/>
    <w:rsid w:val="00355D1E"/>
    <w:rsid w:val="00361ED3"/>
    <w:rsid w:val="003C7CB4"/>
    <w:rsid w:val="00466E78"/>
    <w:rsid w:val="004B6C31"/>
    <w:rsid w:val="004C5C7E"/>
    <w:rsid w:val="004D2197"/>
    <w:rsid w:val="0050020D"/>
    <w:rsid w:val="00515F54"/>
    <w:rsid w:val="00533F54"/>
    <w:rsid w:val="00557D2D"/>
    <w:rsid w:val="005721AA"/>
    <w:rsid w:val="005925D8"/>
    <w:rsid w:val="00595BEC"/>
    <w:rsid w:val="005D35C6"/>
    <w:rsid w:val="0060543C"/>
    <w:rsid w:val="00667329"/>
    <w:rsid w:val="006915D8"/>
    <w:rsid w:val="006A1E67"/>
    <w:rsid w:val="006E5973"/>
    <w:rsid w:val="006F4648"/>
    <w:rsid w:val="007379EC"/>
    <w:rsid w:val="007B0C75"/>
    <w:rsid w:val="007F402F"/>
    <w:rsid w:val="008250C3"/>
    <w:rsid w:val="00851D8D"/>
    <w:rsid w:val="00886150"/>
    <w:rsid w:val="00887099"/>
    <w:rsid w:val="008A6517"/>
    <w:rsid w:val="008F092B"/>
    <w:rsid w:val="009126FA"/>
    <w:rsid w:val="0091780B"/>
    <w:rsid w:val="00990912"/>
    <w:rsid w:val="00A02D9A"/>
    <w:rsid w:val="00AE07DB"/>
    <w:rsid w:val="00B0720C"/>
    <w:rsid w:val="00B33FFE"/>
    <w:rsid w:val="00BC3A74"/>
    <w:rsid w:val="00BF180C"/>
    <w:rsid w:val="00C07E33"/>
    <w:rsid w:val="00C3651D"/>
    <w:rsid w:val="00C72852"/>
    <w:rsid w:val="00CA1E92"/>
    <w:rsid w:val="00CA3466"/>
    <w:rsid w:val="00CA6338"/>
    <w:rsid w:val="00CC5EB5"/>
    <w:rsid w:val="00CD1054"/>
    <w:rsid w:val="00CF61A7"/>
    <w:rsid w:val="00D25093"/>
    <w:rsid w:val="00DA09FA"/>
    <w:rsid w:val="00DA2562"/>
    <w:rsid w:val="00DA7C5D"/>
    <w:rsid w:val="00DD49E6"/>
    <w:rsid w:val="00DE43E3"/>
    <w:rsid w:val="00E20D50"/>
    <w:rsid w:val="00E51DA7"/>
    <w:rsid w:val="00E76AEE"/>
    <w:rsid w:val="00E80706"/>
    <w:rsid w:val="00E929E3"/>
    <w:rsid w:val="00EB6155"/>
    <w:rsid w:val="00ED6ACC"/>
    <w:rsid w:val="00EE4260"/>
    <w:rsid w:val="00EF52DF"/>
    <w:rsid w:val="00F304A1"/>
    <w:rsid w:val="00F45AE1"/>
    <w:rsid w:val="00F764D1"/>
    <w:rsid w:val="00FB727A"/>
    <w:rsid w:val="00FD0B01"/>
    <w:rsid w:val="00FD6E49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BE49FC3"/>
  <w15:docId w15:val="{06780BB8-ECAD-41DB-88B0-F2F1396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2B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F09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F09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92B"/>
    <w:rPr>
      <w:rFonts w:ascii="Tahoma" w:eastAsia="Times New Roman" w:hAnsi="Tahoma" w:cs="Tahoma"/>
      <w:bCs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65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51D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65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51D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marielaramos</dc:creator>
  <cp:lastModifiedBy>Mariela Pitanga Ramos</cp:lastModifiedBy>
  <cp:revision>49</cp:revision>
  <cp:lastPrinted>2018-12-06T12:25:00Z</cp:lastPrinted>
  <dcterms:created xsi:type="dcterms:W3CDTF">2018-10-19T13:10:00Z</dcterms:created>
  <dcterms:modified xsi:type="dcterms:W3CDTF">2018-12-21T09:56:00Z</dcterms:modified>
</cp:coreProperties>
</file>